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6B" w:rsidRPr="00242AC7" w:rsidRDefault="00717365" w:rsidP="00971D6B">
      <w:pPr>
        <w:jc w:val="center"/>
        <w:rPr>
          <w:b/>
          <w:sz w:val="24"/>
          <w:szCs w:val="24"/>
        </w:rPr>
      </w:pPr>
      <w:r w:rsidRPr="00242AC7">
        <w:rPr>
          <w:b/>
          <w:sz w:val="24"/>
          <w:szCs w:val="24"/>
        </w:rPr>
        <w:t xml:space="preserve">Property Tax </w:t>
      </w:r>
      <w:r w:rsidR="00FB6C5F">
        <w:rPr>
          <w:b/>
          <w:sz w:val="24"/>
          <w:szCs w:val="24"/>
        </w:rPr>
        <w:t xml:space="preserve">Valuation </w:t>
      </w:r>
      <w:bookmarkStart w:id="0" w:name="_GoBack"/>
      <w:bookmarkEnd w:id="0"/>
      <w:r w:rsidRPr="00242AC7">
        <w:rPr>
          <w:b/>
          <w:sz w:val="24"/>
          <w:szCs w:val="24"/>
        </w:rPr>
        <w:t>Information for Businesses</w:t>
      </w:r>
    </w:p>
    <w:p w:rsidR="00F94F98" w:rsidRPr="00242AC7" w:rsidRDefault="00F94F98" w:rsidP="00971D6B">
      <w:pPr>
        <w:jc w:val="center"/>
        <w:rPr>
          <w:b/>
          <w:sz w:val="16"/>
          <w:szCs w:val="16"/>
        </w:rPr>
      </w:pPr>
    </w:p>
    <w:p w:rsidR="009F0F65" w:rsidRPr="00242AC7" w:rsidRDefault="00717365" w:rsidP="00F94F98">
      <w:pPr>
        <w:jc w:val="both"/>
      </w:pPr>
      <w:r w:rsidRPr="00242AC7">
        <w:t xml:space="preserve">Each </w:t>
      </w:r>
      <w:r w:rsidR="00864C6D" w:rsidRPr="00242AC7">
        <w:t>b</w:t>
      </w:r>
      <w:r w:rsidRPr="00242AC7">
        <w:t xml:space="preserve">usiness </w:t>
      </w:r>
      <w:r w:rsidRPr="00242AC7">
        <w:t xml:space="preserve">located within the City of Hendersonville </w:t>
      </w:r>
      <w:r w:rsidRPr="00242AC7">
        <w:t>receive</w:t>
      </w:r>
      <w:r w:rsidR="00391E8B" w:rsidRPr="00242AC7">
        <w:t>s</w:t>
      </w:r>
      <w:r w:rsidRPr="00242AC7">
        <w:t xml:space="preserve"> tax bills from both Henderson County and the City of Hendersonville for both personal and real </w:t>
      </w:r>
      <w:r w:rsidR="00242AC7">
        <w:t xml:space="preserve">property </w:t>
      </w:r>
      <w:r w:rsidRPr="00242AC7">
        <w:t>(if real estate is owned)</w:t>
      </w:r>
      <w:r w:rsidR="00864C6D" w:rsidRPr="00242AC7">
        <w:t xml:space="preserve">.  </w:t>
      </w:r>
      <w:r w:rsidR="00971D6B" w:rsidRPr="00242AC7">
        <w:t>The City of Hendersonville bills and collects its own property tax</w:t>
      </w:r>
      <w:r w:rsidR="00864C6D" w:rsidRPr="00242AC7">
        <w:t xml:space="preserve">es, including business personal property tax, however the values of all property is assessed by Henderson County.  </w:t>
      </w:r>
      <w:r w:rsidR="00242AC7">
        <w:t xml:space="preserve">For questions concerning the assessed value of property within or billed by the City of Hendersonville, please contact the County at the numbers listed below.  </w:t>
      </w:r>
    </w:p>
    <w:p w:rsidR="009F0F65" w:rsidRPr="00242AC7" w:rsidRDefault="009F0F65" w:rsidP="00F94F98">
      <w:pPr>
        <w:jc w:val="both"/>
      </w:pPr>
      <w:r w:rsidRPr="00242AC7">
        <w:rPr>
          <w:b/>
          <w:u w:val="single"/>
        </w:rPr>
        <w:t>Municipal Tax Districts:</w:t>
      </w:r>
      <w:r w:rsidRPr="00242AC7">
        <w:t xml:space="preserve">  There is an additional tax rate on properties located within one of the two special tax districts located within the </w:t>
      </w:r>
      <w:r w:rsidR="00A073A3" w:rsidRPr="00242AC7">
        <w:t>City (</w:t>
      </w:r>
      <w:r w:rsidRPr="00242AC7">
        <w:t>Downtown or 7</w:t>
      </w:r>
      <w:r w:rsidRPr="00242AC7">
        <w:rPr>
          <w:vertAlign w:val="superscript"/>
        </w:rPr>
        <w:t>th</w:t>
      </w:r>
      <w:r w:rsidRPr="00242AC7">
        <w:t xml:space="preserve"> Ave).  </w:t>
      </w:r>
    </w:p>
    <w:p w:rsidR="006F7E38" w:rsidRPr="00242AC7" w:rsidRDefault="00971D6B" w:rsidP="00F94F98">
      <w:pPr>
        <w:jc w:val="both"/>
      </w:pPr>
      <w:r w:rsidRPr="00242AC7">
        <w:rPr>
          <w:b/>
          <w:u w:val="single"/>
        </w:rPr>
        <w:t>Business Personal Property Tax.</w:t>
      </w:r>
      <w:r w:rsidR="00A073A3" w:rsidRPr="00242AC7">
        <w:rPr>
          <w:u w:val="single"/>
        </w:rPr>
        <w:t xml:space="preserve"> </w:t>
      </w:r>
      <w:r w:rsidR="00A073A3" w:rsidRPr="00242AC7">
        <w:t xml:space="preserve"> Henderson County assesses all property in the County, including the Business Personal Property located within the City of Hendersonville.</w:t>
      </w:r>
      <w:r w:rsidR="00391E8B" w:rsidRPr="00242AC7">
        <w:t xml:space="preserve"> </w:t>
      </w:r>
      <w:r w:rsidR="00A073A3" w:rsidRPr="00242AC7">
        <w:t xml:space="preserve"> In </w:t>
      </w:r>
      <w:r w:rsidRPr="00242AC7">
        <w:t xml:space="preserve">early January of each year, the Henderson County Assessor’s office sends out </w:t>
      </w:r>
      <w:r w:rsidR="00A073A3" w:rsidRPr="00242AC7">
        <w:t xml:space="preserve">Personal Property </w:t>
      </w:r>
      <w:r w:rsidRPr="00242AC7">
        <w:t xml:space="preserve">listing forms. </w:t>
      </w:r>
      <w:r w:rsidR="00A073A3" w:rsidRPr="00242AC7">
        <w:t xml:space="preserve"> </w:t>
      </w:r>
      <w:r w:rsidR="009F0F65" w:rsidRPr="00242AC7">
        <w:t>Business owners should complete the form</w:t>
      </w:r>
      <w:r w:rsidRPr="00242AC7">
        <w:t xml:space="preserve"> and return it to the </w:t>
      </w:r>
      <w:r w:rsidR="009F0F65" w:rsidRPr="00242AC7">
        <w:t>Hend</w:t>
      </w:r>
      <w:r w:rsidR="00864C6D" w:rsidRPr="00242AC7">
        <w:t>erson County office at</w:t>
      </w:r>
      <w:r w:rsidR="009B1788" w:rsidRPr="00242AC7">
        <w:t xml:space="preserve"> </w:t>
      </w:r>
      <w:r w:rsidR="009B1788" w:rsidRPr="00242AC7">
        <w:rPr>
          <w:b/>
        </w:rPr>
        <w:t>Henderson County Assessor, 200 N. Grove Street, Suite</w:t>
      </w:r>
      <w:r w:rsidR="00864C6D" w:rsidRPr="00242AC7">
        <w:rPr>
          <w:b/>
        </w:rPr>
        <w:t xml:space="preserve"> 102, Hendersonville, NC  28792</w:t>
      </w:r>
      <w:r w:rsidR="00864C6D" w:rsidRPr="00242AC7">
        <w:t>,</w:t>
      </w:r>
      <w:r w:rsidR="009F0F65" w:rsidRPr="00242AC7">
        <w:t xml:space="preserve"> </w:t>
      </w:r>
      <w:r w:rsidRPr="00242AC7">
        <w:t>before January 31</w:t>
      </w:r>
      <w:r w:rsidRPr="00242AC7">
        <w:rPr>
          <w:vertAlign w:val="superscript"/>
        </w:rPr>
        <w:t>st</w:t>
      </w:r>
      <w:r w:rsidR="006F7E38" w:rsidRPr="00242AC7">
        <w:t xml:space="preserve">.  </w:t>
      </w:r>
      <w:r w:rsidR="00A073A3" w:rsidRPr="00242AC7">
        <w:t xml:space="preserve">All </w:t>
      </w:r>
      <w:r w:rsidR="009F0F65" w:rsidRPr="00242AC7">
        <w:t>B</w:t>
      </w:r>
      <w:r w:rsidR="006F7E38" w:rsidRPr="00242AC7">
        <w:t>usiness property owned on January 1</w:t>
      </w:r>
      <w:r w:rsidR="006F7E38" w:rsidRPr="00242AC7">
        <w:rPr>
          <w:vertAlign w:val="superscript"/>
        </w:rPr>
        <w:t>st</w:t>
      </w:r>
      <w:r w:rsidR="006F7E38" w:rsidRPr="00242AC7">
        <w:t xml:space="preserve"> of each year</w:t>
      </w:r>
      <w:r w:rsidR="009F0F65" w:rsidRPr="00242AC7">
        <w:t xml:space="preserve"> should be included</w:t>
      </w:r>
      <w:r w:rsidR="006F7E38" w:rsidRPr="00242AC7">
        <w:t xml:space="preserve">.  </w:t>
      </w:r>
      <w:r w:rsidR="009F0F65" w:rsidRPr="00242AC7">
        <w:t xml:space="preserve">Businesses that rent space must </w:t>
      </w:r>
      <w:r w:rsidR="006F7E38" w:rsidRPr="00242AC7">
        <w:t xml:space="preserve">list </w:t>
      </w:r>
      <w:r w:rsidR="009F0F65" w:rsidRPr="00242AC7">
        <w:t>also complete the list of</w:t>
      </w:r>
      <w:r w:rsidR="006F7E38" w:rsidRPr="00242AC7">
        <w:t xml:space="preserve"> business personal property even though </w:t>
      </w:r>
      <w:r w:rsidR="009F0F65" w:rsidRPr="00242AC7">
        <w:t>no</w:t>
      </w:r>
      <w:r w:rsidR="006F7E38" w:rsidRPr="00242AC7">
        <w:t xml:space="preserve"> real estate</w:t>
      </w:r>
      <w:r w:rsidR="009F0F65" w:rsidRPr="00242AC7">
        <w:t xml:space="preserve"> is owned</w:t>
      </w:r>
      <w:r w:rsidR="006F7E38" w:rsidRPr="00242AC7">
        <w:t>.</w:t>
      </w:r>
      <w:r w:rsidR="00864C6D" w:rsidRPr="00242AC7">
        <w:t xml:space="preserve">  </w:t>
      </w:r>
      <w:r w:rsidR="00A073A3" w:rsidRPr="00242AC7">
        <w:t xml:space="preserve">If you have not received a form to report business personal property tax by </w:t>
      </w:r>
      <w:r w:rsidR="006F7E38" w:rsidRPr="00242AC7">
        <w:t>January 15</w:t>
      </w:r>
      <w:r w:rsidR="006F7E38" w:rsidRPr="00242AC7">
        <w:rPr>
          <w:vertAlign w:val="superscript"/>
        </w:rPr>
        <w:t>th</w:t>
      </w:r>
      <w:r w:rsidR="00A073A3" w:rsidRPr="00242AC7">
        <w:rPr>
          <w:vertAlign w:val="superscript"/>
        </w:rPr>
        <w:t xml:space="preserve">  </w:t>
      </w:r>
      <w:r w:rsidR="00A073A3" w:rsidRPr="00242AC7">
        <w:t xml:space="preserve"> please contact the Henderson County Tax Assessors office. Business Personal Property forms </w:t>
      </w:r>
      <w:r w:rsidR="006F7E38" w:rsidRPr="00242AC7">
        <w:t xml:space="preserve">not returned on time </w:t>
      </w:r>
      <w:r w:rsidR="00A073A3" w:rsidRPr="00242AC7">
        <w:t xml:space="preserve">are </w:t>
      </w:r>
      <w:r w:rsidR="006F7E38" w:rsidRPr="00242AC7">
        <w:t>charged a 10% late listing penalty</w:t>
      </w:r>
      <w:r w:rsidR="00A073A3" w:rsidRPr="00242AC7">
        <w:t xml:space="preserve"> by the County</w:t>
      </w:r>
      <w:r w:rsidR="006F7E38" w:rsidRPr="00242AC7">
        <w:t>.</w:t>
      </w:r>
    </w:p>
    <w:p w:rsidR="006F7E38" w:rsidRPr="00242AC7" w:rsidRDefault="006F7E38" w:rsidP="00F94F98">
      <w:pPr>
        <w:jc w:val="both"/>
      </w:pPr>
      <w:r w:rsidRPr="00242AC7">
        <w:t xml:space="preserve">Failure to file a business personal </w:t>
      </w:r>
      <w:r w:rsidR="00D44122" w:rsidRPr="00242AC7">
        <w:t>property listing</w:t>
      </w:r>
      <w:r w:rsidRPr="00242AC7">
        <w:t xml:space="preserve"> form may result in a Discovery.  </w:t>
      </w:r>
      <w:r w:rsidR="009B1788" w:rsidRPr="00242AC7">
        <w:t xml:space="preserve">If completed forms are not received by the due date the County will initiate the </w:t>
      </w:r>
      <w:r w:rsidRPr="00242AC7">
        <w:t>Discovery Process,</w:t>
      </w:r>
      <w:r w:rsidR="00FB6C5F">
        <w:t xml:space="preserve"> </w:t>
      </w:r>
      <w:r w:rsidRPr="00242AC7">
        <w:t xml:space="preserve">which </w:t>
      </w:r>
      <w:r w:rsidR="00A073A3" w:rsidRPr="00242AC7">
        <w:t>includes</w:t>
      </w:r>
      <w:r w:rsidRPr="00242AC7">
        <w:t xml:space="preserve"> the 10% late listing penalty, </w:t>
      </w:r>
      <w:r w:rsidR="00A073A3" w:rsidRPr="00242AC7">
        <w:t xml:space="preserve">along with </w:t>
      </w:r>
      <w:r w:rsidRPr="00242AC7">
        <w:t xml:space="preserve">an </w:t>
      </w:r>
      <w:r w:rsidR="00A073A3" w:rsidRPr="00242AC7">
        <w:t xml:space="preserve">estimated </w:t>
      </w:r>
      <w:r w:rsidRPr="00242AC7">
        <w:t xml:space="preserve">assessed value on your personal property.  Once </w:t>
      </w:r>
      <w:r w:rsidR="00A073A3" w:rsidRPr="00242AC7">
        <w:t xml:space="preserve">this process is completed the </w:t>
      </w:r>
      <w:r w:rsidRPr="00242AC7">
        <w:t xml:space="preserve">County </w:t>
      </w:r>
      <w:r w:rsidR="00A073A3" w:rsidRPr="00242AC7">
        <w:t>and or City can</w:t>
      </w:r>
      <w:r w:rsidRPr="00242AC7">
        <w:t>not change the value that has been assessed or the amount of taxes owed.</w:t>
      </w:r>
      <w:r w:rsidR="00A073A3" w:rsidRPr="00242AC7">
        <w:t xml:space="preserve"> </w:t>
      </w:r>
      <w:r w:rsidR="00864C6D" w:rsidRPr="00242AC7">
        <w:t xml:space="preserve"> </w:t>
      </w:r>
      <w:r w:rsidR="00A073A3" w:rsidRPr="00242AC7">
        <w:t xml:space="preserve">Therefore, it is crucial that each business complete the forms on time each year in order to be assessed and charged the correct amounts.  </w:t>
      </w:r>
    </w:p>
    <w:p w:rsidR="00F94F98" w:rsidRPr="00242AC7" w:rsidRDefault="00864C6D" w:rsidP="00242AC7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bCs/>
          <w:sz w:val="20"/>
          <w:szCs w:val="20"/>
        </w:rPr>
      </w:pPr>
      <w:r w:rsidRPr="00242AC7">
        <w:rPr>
          <w:rFonts w:eastAsia="Times New Roman" w:cs="Times New Roman"/>
          <w:b/>
          <w:bCs/>
          <w:sz w:val="20"/>
          <w:szCs w:val="20"/>
        </w:rPr>
        <w:t xml:space="preserve">Valuation of </w:t>
      </w:r>
      <w:r w:rsidR="00717365" w:rsidRPr="00242AC7">
        <w:rPr>
          <w:rFonts w:eastAsia="Times New Roman" w:cs="Times New Roman"/>
          <w:b/>
          <w:bCs/>
          <w:sz w:val="20"/>
          <w:szCs w:val="20"/>
        </w:rPr>
        <w:t>Personal Property</w:t>
      </w:r>
      <w:r w:rsidR="00242AC7">
        <w:rPr>
          <w:rFonts w:eastAsia="Times New Roman" w:cs="Times New Roman"/>
          <w:b/>
          <w:bCs/>
          <w:sz w:val="20"/>
          <w:szCs w:val="20"/>
        </w:rPr>
        <w:t xml:space="preserve"> Contact Information</w:t>
      </w:r>
      <w:r w:rsidR="00717365" w:rsidRPr="00242AC7">
        <w:rPr>
          <w:rFonts w:eastAsia="Times New Roman" w:cs="Times New Roman"/>
          <w:b/>
          <w:bCs/>
          <w:sz w:val="20"/>
          <w:szCs w:val="20"/>
        </w:rPr>
        <w:t xml:space="preserve">:  </w:t>
      </w:r>
    </w:p>
    <w:tbl>
      <w:tblPr>
        <w:tblStyle w:val="TableGrid"/>
        <w:tblpPr w:leftFromText="180" w:rightFromText="180" w:vertAnchor="text" w:horzAnchor="margin" w:tblpY="132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780"/>
        <w:gridCol w:w="2515"/>
        <w:gridCol w:w="275"/>
      </w:tblGrid>
      <w:tr w:rsidR="00F94F98" w:rsidRPr="00242AC7" w:rsidTr="00F94F98">
        <w:trPr>
          <w:gridAfter w:val="1"/>
          <w:wAfter w:w="275" w:type="dxa"/>
          <w:trHeight w:val="262"/>
        </w:trPr>
        <w:tc>
          <w:tcPr>
            <w:tcW w:w="2160" w:type="dxa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Mark Edney</w:t>
            </w:r>
          </w:p>
        </w:tc>
        <w:tc>
          <w:tcPr>
            <w:tcW w:w="3780" w:type="dxa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Personal Property Administrator</w:t>
            </w:r>
          </w:p>
        </w:tc>
        <w:tc>
          <w:tcPr>
            <w:tcW w:w="2515" w:type="dxa"/>
          </w:tcPr>
          <w:p w:rsidR="00F94F98" w:rsidRPr="00242AC7" w:rsidRDefault="00F94F98" w:rsidP="00F94F98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828-697-4518</w:t>
            </w:r>
          </w:p>
        </w:tc>
      </w:tr>
      <w:tr w:rsidR="00F94F98" w:rsidRPr="00242AC7" w:rsidTr="00F94F98">
        <w:trPr>
          <w:trHeight w:val="247"/>
        </w:trPr>
        <w:tc>
          <w:tcPr>
            <w:tcW w:w="2160" w:type="dxa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E</w:t>
            </w:r>
            <w:r w:rsidRPr="00242AC7">
              <w:rPr>
                <w:sz w:val="20"/>
                <w:szCs w:val="20"/>
              </w:rPr>
              <w:t>lizabeth Swope</w:t>
            </w:r>
          </w:p>
        </w:tc>
        <w:tc>
          <w:tcPr>
            <w:tcW w:w="3780" w:type="dxa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Business Personal Appraiser</w:t>
            </w:r>
          </w:p>
        </w:tc>
        <w:tc>
          <w:tcPr>
            <w:tcW w:w="2790" w:type="dxa"/>
            <w:gridSpan w:val="2"/>
          </w:tcPr>
          <w:p w:rsidR="00F94F98" w:rsidRPr="00242AC7" w:rsidRDefault="00F94F98" w:rsidP="00F94F98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828-697-4718</w:t>
            </w:r>
          </w:p>
        </w:tc>
      </w:tr>
      <w:tr w:rsidR="00F94F98" w:rsidRPr="00242AC7" w:rsidTr="00F94F98">
        <w:trPr>
          <w:trHeight w:val="262"/>
        </w:trPr>
        <w:tc>
          <w:tcPr>
            <w:tcW w:w="2160" w:type="dxa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Jennifer Kitchen</w:t>
            </w:r>
          </w:p>
        </w:tc>
        <w:tc>
          <w:tcPr>
            <w:tcW w:w="3780" w:type="dxa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Business Personal Appraiser</w:t>
            </w:r>
          </w:p>
        </w:tc>
        <w:tc>
          <w:tcPr>
            <w:tcW w:w="2790" w:type="dxa"/>
            <w:gridSpan w:val="2"/>
          </w:tcPr>
          <w:p w:rsidR="00F94F98" w:rsidRPr="00242AC7" w:rsidRDefault="00F94F98" w:rsidP="00F94F98">
            <w:pPr>
              <w:rPr>
                <w:sz w:val="20"/>
                <w:szCs w:val="20"/>
              </w:rPr>
            </w:pPr>
            <w:r w:rsidRPr="00242AC7">
              <w:rPr>
                <w:sz w:val="20"/>
                <w:szCs w:val="20"/>
              </w:rPr>
              <w:t>828-697-4694</w:t>
            </w:r>
          </w:p>
        </w:tc>
      </w:tr>
      <w:tr w:rsidR="00F94F98" w:rsidRPr="00242AC7" w:rsidTr="00F94F98">
        <w:trPr>
          <w:trHeight w:val="247"/>
        </w:trPr>
        <w:tc>
          <w:tcPr>
            <w:tcW w:w="2160" w:type="dxa"/>
          </w:tcPr>
          <w:p w:rsidR="00F94F98" w:rsidRPr="00242AC7" w:rsidRDefault="00F94F98" w:rsidP="00391E8B">
            <w:pPr>
              <w:rPr>
                <w:sz w:val="16"/>
                <w:szCs w:val="16"/>
              </w:rPr>
            </w:pPr>
          </w:p>
        </w:tc>
        <w:tc>
          <w:tcPr>
            <w:tcW w:w="3780" w:type="dxa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F94F98" w:rsidRPr="00242AC7" w:rsidRDefault="00F94F98" w:rsidP="00391E8B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0"/>
        <w:gridCol w:w="2160"/>
      </w:tblGrid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391E8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242AC7">
              <w:rPr>
                <w:rFonts w:eastAsia="Times New Roman" w:cs="Times New Roman"/>
                <w:b/>
                <w:bCs/>
                <w:sz w:val="20"/>
                <w:szCs w:val="20"/>
              </w:rPr>
              <w:t>Henderson County -</w:t>
            </w:r>
            <w:r w:rsidRPr="00A073A3">
              <w:rPr>
                <w:rFonts w:eastAsia="Times New Roman" w:cs="Times New Roman"/>
                <w:b/>
                <w:bCs/>
                <w:sz w:val="20"/>
                <w:szCs w:val="20"/>
              </w:rPr>
              <w:t>Office of the Assessor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</w:tcPr>
          <w:p w:rsidR="00F94F98" w:rsidRPr="00242AC7" w:rsidRDefault="00F94F98" w:rsidP="00864C6D">
            <w:pPr>
              <w:spacing w:after="0" w:line="240" w:lineRule="auto"/>
              <w:ind w:left="720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 w:rsidRPr="00A073A3">
              <w:rPr>
                <w:rFonts w:eastAsia="Times New Roman" w:cs="Times New Roman"/>
                <w:i/>
                <w:sz w:val="20"/>
                <w:szCs w:val="20"/>
              </w:rPr>
              <w:t xml:space="preserve">The </w:t>
            </w:r>
            <w:r w:rsidRPr="00242AC7">
              <w:rPr>
                <w:rFonts w:eastAsia="Times New Roman" w:cs="Times New Roman"/>
                <w:i/>
                <w:sz w:val="20"/>
                <w:szCs w:val="20"/>
              </w:rPr>
              <w:t xml:space="preserve">County Tax </w:t>
            </w:r>
            <w:r w:rsidRPr="00A073A3">
              <w:rPr>
                <w:rFonts w:eastAsia="Times New Roman" w:cs="Times New Roman"/>
                <w:i/>
                <w:sz w:val="20"/>
                <w:szCs w:val="20"/>
              </w:rPr>
              <w:t>Assessor’s Office is responsible for the listing, appraisal and assessment of all taxable property in Henderson County</w:t>
            </w:r>
            <w:r w:rsidRPr="00242AC7">
              <w:rPr>
                <w:rFonts w:eastAsia="Times New Roman" w:cs="Times New Roman"/>
                <w:i/>
                <w:sz w:val="20"/>
                <w:szCs w:val="20"/>
              </w:rPr>
              <w:t>, including the City of Hendersonville</w:t>
            </w:r>
            <w:r w:rsidRPr="00A073A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15" w:type="dxa"/>
            <w:vAlign w:val="center"/>
          </w:tcPr>
          <w:p w:rsidR="00F94F98" w:rsidRPr="00242AC7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General Information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828-697-4870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Real Property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828-697-4667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A073A3">
              <w:rPr>
                <w:rFonts w:eastAsia="Times New Roman" w:cs="Times New Roman"/>
                <w:b/>
                <w:sz w:val="20"/>
                <w:szCs w:val="20"/>
              </w:rPr>
              <w:t>Business Personal Property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A073A3">
              <w:rPr>
                <w:rFonts w:eastAsia="Times New Roman" w:cs="Times New Roman"/>
                <w:b/>
                <w:sz w:val="20"/>
                <w:szCs w:val="20"/>
              </w:rPr>
              <w:t>828-697-4718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Individual Personal Property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828-697-4870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Registered Motor Vehicles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828-697-4870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Land Records / Mapping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828-697-5559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Tax Relief - Present-Use Value / Exemptions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828-698-4424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</w:tcPr>
          <w:p w:rsidR="00F94F98" w:rsidRPr="00242AC7" w:rsidRDefault="00F94F98" w:rsidP="0071736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15" w:type="dxa"/>
            <w:vAlign w:val="center"/>
          </w:tcPr>
          <w:p w:rsidR="00F94F98" w:rsidRPr="00242AC7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242AC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Henderson County - </w:t>
            </w:r>
            <w:r w:rsidRPr="00A073A3">
              <w:rPr>
                <w:rFonts w:eastAsia="Times New Roman" w:cs="Times New Roman"/>
                <w:b/>
                <w:bCs/>
                <w:sz w:val="20"/>
                <w:szCs w:val="20"/>
              </w:rPr>
              <w:t>Office of the Collector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</w:tcPr>
          <w:p w:rsidR="00F94F98" w:rsidRPr="00242AC7" w:rsidRDefault="00F94F98" w:rsidP="00864C6D">
            <w:pPr>
              <w:spacing w:after="0" w:line="240" w:lineRule="auto"/>
              <w:ind w:left="720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 w:rsidRPr="00A073A3">
              <w:rPr>
                <w:rFonts w:eastAsia="Times New Roman" w:cs="Times New Roman"/>
                <w:i/>
                <w:sz w:val="20"/>
                <w:szCs w:val="20"/>
              </w:rPr>
              <w:t xml:space="preserve">The </w:t>
            </w:r>
            <w:r w:rsidRPr="00242AC7">
              <w:rPr>
                <w:rFonts w:eastAsia="Times New Roman" w:cs="Times New Roman"/>
                <w:i/>
                <w:sz w:val="20"/>
                <w:szCs w:val="20"/>
              </w:rPr>
              <w:t xml:space="preserve">Henderson County Tax </w:t>
            </w:r>
            <w:r w:rsidRPr="00A073A3">
              <w:rPr>
                <w:rFonts w:eastAsia="Times New Roman" w:cs="Times New Roman"/>
                <w:i/>
                <w:sz w:val="20"/>
                <w:szCs w:val="20"/>
              </w:rPr>
              <w:t>Collector’s Office is responsible for the collection of all property taxes</w:t>
            </w:r>
            <w:r w:rsidRPr="00242AC7">
              <w:rPr>
                <w:rFonts w:eastAsia="Times New Roman" w:cs="Times New Roman"/>
                <w:i/>
                <w:sz w:val="20"/>
                <w:szCs w:val="20"/>
              </w:rPr>
              <w:t xml:space="preserve"> billed by the </w:t>
            </w:r>
            <w:r w:rsidRPr="00A073A3">
              <w:rPr>
                <w:rFonts w:eastAsia="Times New Roman" w:cs="Times New Roman"/>
                <w:i/>
                <w:sz w:val="20"/>
                <w:szCs w:val="20"/>
              </w:rPr>
              <w:t>County.</w:t>
            </w:r>
          </w:p>
        </w:tc>
        <w:tc>
          <w:tcPr>
            <w:tcW w:w="2115" w:type="dxa"/>
            <w:vAlign w:val="center"/>
          </w:tcPr>
          <w:p w:rsidR="00F94F98" w:rsidRPr="00242AC7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General Information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828-697-5595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Delinquent Tax Collections - Real Property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828-697-5595</w:t>
            </w:r>
          </w:p>
        </w:tc>
      </w:tr>
      <w:tr w:rsidR="00F94F98" w:rsidRPr="00242AC7" w:rsidTr="00F94F98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F94F98" w:rsidRPr="00A073A3" w:rsidRDefault="00F94F98" w:rsidP="007173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Delinquent Tax Collections - Personal Property / Debt Set-Off</w:t>
            </w:r>
          </w:p>
        </w:tc>
        <w:tc>
          <w:tcPr>
            <w:tcW w:w="2115" w:type="dxa"/>
            <w:vAlign w:val="center"/>
            <w:hideMark/>
          </w:tcPr>
          <w:p w:rsidR="00F94F98" w:rsidRPr="00A073A3" w:rsidRDefault="00F94F98" w:rsidP="00864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073A3">
              <w:rPr>
                <w:rFonts w:eastAsia="Times New Roman" w:cs="Times New Roman"/>
                <w:sz w:val="20"/>
                <w:szCs w:val="20"/>
              </w:rPr>
              <w:t>828-697-4646</w:t>
            </w:r>
          </w:p>
        </w:tc>
      </w:tr>
    </w:tbl>
    <w:p w:rsidR="00A073A3" w:rsidRPr="00242AC7" w:rsidRDefault="00A073A3" w:rsidP="00242A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20"/>
          <w:szCs w:val="20"/>
        </w:rPr>
      </w:pPr>
    </w:p>
    <w:sectPr w:rsidR="00A073A3" w:rsidRPr="00242AC7" w:rsidSect="00FB6C5F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6B"/>
    <w:rsid w:val="00242AC7"/>
    <w:rsid w:val="00391E8B"/>
    <w:rsid w:val="005F2A11"/>
    <w:rsid w:val="006F7E38"/>
    <w:rsid w:val="00717365"/>
    <w:rsid w:val="00850645"/>
    <w:rsid w:val="00864C6D"/>
    <w:rsid w:val="00971D6B"/>
    <w:rsid w:val="009B1788"/>
    <w:rsid w:val="009F0F65"/>
    <w:rsid w:val="00A073A3"/>
    <w:rsid w:val="00D44122"/>
    <w:rsid w:val="00F94F98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1FC2C-772E-4315-AA21-50D7C58A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1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4287">
          <w:marLeft w:val="3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2059">
          <w:marLeft w:val="3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11F6-0CD5-4AAA-A2B8-819C22E3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Beth</dc:creator>
  <cp:keywords/>
  <dc:description/>
  <cp:lastModifiedBy>White, Lisa</cp:lastModifiedBy>
  <cp:revision>2</cp:revision>
  <dcterms:created xsi:type="dcterms:W3CDTF">2016-02-11T21:13:00Z</dcterms:created>
  <dcterms:modified xsi:type="dcterms:W3CDTF">2016-02-11T21:13:00Z</dcterms:modified>
</cp:coreProperties>
</file>